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Огляд структури та сфери дії регламенту DORA</w:t>
      </w:r>
    </w:p>
    <w:p>
      <w:pPr>
        <w:pStyle w:val="Subtitle"/>
      </w:pPr>
      <w:r>
        <w:t>Regulation (EU) 2022/2554, первісний опублікований текст. Навчальний огляд, редакційна версія 0.1 від 08.09.2026.</w:t>
      </w:r>
    </w:p>
    <w:p>
      <w:pPr>
        <w:pStyle w:val="Heading1"/>
      </w:pPr>
      <w:r>
        <w:t>Призначення</w:t>
      </w:r>
    </w:p>
    <w:p>
      <w:r>
        <w:t>DORA встановлює рамку цифрової операційної стійкості фінансового сектору ЄС: керування ІКТ-ризиками, реагування на інциденти, перевірку стійкості та роботу з постачальниками ІКТ-послуг. Базова дата застосування регламенту — 17 січня 2025 року (стаття 64).</w:t>
      </w:r>
    </w:p>
    <w:p>
      <w:pPr>
        <w:pStyle w:val="Heading1"/>
      </w:pPr>
      <w:r>
        <w:t>Сфера дії</w:t>
      </w:r>
    </w:p>
    <w:p>
      <w:r>
        <w:t>Стаття 2 визначає категорії суб’єктів, зокрема кредитні, платіжні та інвестиційні установи, окремих учасників страхового та інших фінансових ринків, а також постачальників ІКТ-послуг. Для конкретної установи потрібно окремо перевірити категорію, винятки та спеціальні правила. Для української організації значення можуть мати її діяльність у ЄС і договірні відносини з фінансовими установами ЄС.</w:t>
      </w:r>
    </w:p>
    <w:p>
      <w:pPr>
        <w:pStyle w:val="Heading1"/>
      </w:pPr>
      <w:r>
        <w:t>Навігація текстом</w:t>
      </w:r>
    </w:p>
    <w:p>
      <w:r>
        <w:t>Глава I (статті 1–4) — загальні положення і терміни; II (5–16) — керування ІКТ-ризиками; III (17–23) — інциденти та повідомлення; IV (24–27) — тестування стійкості; V (28–44) — ризики третіх сторін і нагляд за критичними постачальниками; VI (45) — обмін інформацією; VII (46–56) — компетентні органи; VIII (57–64) — заключні положення.</w:t>
      </w:r>
    </w:p>
    <w:p>
      <w:r>
        <w:br w:type="page"/>
      </w:r>
    </w:p>
    <w:p>
      <w:pPr>
        <w:pStyle w:val="Heading1"/>
      </w:pPr>
      <w:r>
        <w:t>Як опрацьовувати матеріал</w:t>
      </w:r>
    </w:p>
    <w:p>
      <w:r>
        <w:t>Спочатку визначте суб’єкта та його послуги. Далі пов’яжіть кожну тему з процесами установи: інвентаризацією ІКТ, оцінкою ризику, безперервністю, обліком інцидентів, тестуванням і договорами. Для навчального розбору підготуйте схему «вимога — процес — відповідальний — доказ»; це запропонований спосіб роботи з текстом, а не форма, встановлена регламентом.</w:t>
      </w:r>
    </w:p>
    <w:p>
      <w:pPr>
        <w:pStyle w:val="Heading1"/>
      </w:pPr>
      <w:r>
        <w:t>Термінологія та межі огляду</w:t>
      </w:r>
    </w:p>
    <w:p>
      <w:r>
        <w:t>Супровідна картка містить 65 термінів статті 3 з англійськими назвами, робочими українськими відповідниками та посиланнями на пункти. Перед практичним застосуванням звіряйте чинну консолідацію, делеговані та імплементаційні акти; цей огляд фіксує структуру базового тексту.</w:t>
      </w:r>
    </w:p>
    <w:p>
      <w:pPr>
        <w:pStyle w:val="Heading1"/>
      </w:pPr>
      <w:r>
        <w:t>Джерела</w:t>
      </w:r>
    </w:p>
    <w:p>
      <w:pPr>
        <w:pStyle w:val="SourceText"/>
      </w:pPr>
      <w:r>
        <w:t>DORA — офіційний текст, статті 1–4, 64 і заголовки глав</w:t>
      </w:r>
    </w:p>
    <w:p>
      <w:pPr>
        <w:pStyle w:val="SourceText"/>
      </w:pPr>
      <w:r>
        <w:t>https://eur-lex.europa.eu/legal-content/EN/TXT/?uri=CELEX:32022R2554</w:t>
      </w:r>
    </w:p>
    <w:p>
      <w:pPr>
        <w:pStyle w:val="SourceText"/>
      </w:pPr>
      <w:r>
        <w:t>Локальний знімок і походження термінів</w:t>
      </w:r>
    </w:p>
    <w:p>
      <w:pPr>
        <w:pStyle w:val="SourceText"/>
      </w:pPr>
      <w:r>
        <w:t>Resources/DORA/terminology-sources.json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Редакційна версія 0.1 · 08.09.2026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ЦАЛС  /  БАЗА ЗНАНЬ  /  МАТЕРІАЛИ ПРОЄКТІВ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300" w:lineRule="auto"/>
    </w:pPr>
    <w:rPr>
      <w:rFonts w:ascii="Calibri" w:hAnsi="Calibri"/>
      <w:b w:val="0"/>
      <w:color w:val="17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Calibri" w:hAnsi="Calibri"/>
      <w:b w:val="0"/>
      <w:color w:val="526372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Calibri" w:hAnsi="Calibri"/>
      <w:b w:val="0"/>
      <w:color w:val="526372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pBdr>
        <w:bottom w:val="single" w:sz="8" w:space="4" w:color="4F81BD" w:themeColor="accent1"/>
      </w:pBdr>
      <w:spacing w:after="200" w:line="264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240" w:line="276" w:lineRule="auto"/>
    </w:pPr>
    <w:rPr>
      <w:rFonts w:asciiTheme="majorHAnsi" w:eastAsiaTheme="majorEastAsia" w:hAnsiTheme="majorHAnsi" w:cstheme="majorBidi" w:ascii="Calibri" w:hAnsi="Calibri"/>
      <w:b w:val="0"/>
      <w:i/>
      <w:iCs/>
      <w:color w:val="526372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widowControl/>
      <w:spacing w:before="0" w:after="0" w:line="264" w:lineRule="auto"/>
    </w:pPr>
    <w:rPr>
      <w:rFonts w:ascii="Calibri" w:hAnsi="Calibri"/>
      <w:b w:val="0"/>
      <w:color w:val="172B3A"/>
      <w:sz w:val="20"/>
    </w:rPr>
  </w:style>
  <w:style w:type="paragraph" w:customStyle="1" w:styleId="SourceText">
    <w:name w:val="Source Text"/>
    <w:pPr>
      <w:widowControl/>
      <w:spacing w:before="80" w:after="80" w:line="276" w:lineRule="auto"/>
    </w:pPr>
    <w:rPr>
      <w:rFonts w:ascii="Calibri" w:hAnsi="Calibri"/>
      <w:b w:val="0"/>
      <w:color w:val="526372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Огляд структури та сфери дії регламенту DORA</dc:title>
  <dc:subject>Матеріали проєктів бази знань</dc:subject>
  <dc:creator>ЦАЛС</dc:creator>
  <cp:keywords/>
  <dc:description>generated by python-docx</dc:description>
  <cp:lastModifiedBy/>
  <cp:revision>1</cp:revision>
  <dcterms:created xsi:type="dcterms:W3CDTF">2026-09-08T00:00:00Z</dcterms:created>
  <dcterms:modified xsi:type="dcterms:W3CDTF">2026-09-08T00:00:00Z</dcterms:modified>
  <cp:category/>
  <dc:language>uk-UA</dc:language>
</cp:coreProperties>
</file>